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2D" w:rsidRDefault="00912F2D" w:rsidP="00912F2D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912F2D" w:rsidRDefault="00912F2D" w:rsidP="00912F2D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912F2D" w:rsidRPr="00BD79B7" w:rsidRDefault="00912F2D" w:rsidP="00912F2D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912F2D" w:rsidRPr="00BD79B7" w:rsidRDefault="00912F2D" w:rsidP="00912F2D">
      <w:pPr>
        <w:pStyle w:val="Style3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912F2D" w:rsidRPr="0078605F" w:rsidTr="00606E56">
        <w:trPr>
          <w:trHeight w:val="1560"/>
        </w:trPr>
        <w:tc>
          <w:tcPr>
            <w:tcW w:w="3926" w:type="dxa"/>
            <w:hideMark/>
          </w:tcPr>
          <w:p w:rsidR="00912F2D" w:rsidRPr="00A85427" w:rsidRDefault="00912F2D" w:rsidP="00606E56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912F2D" w:rsidRPr="00A85427" w:rsidRDefault="00912F2D" w:rsidP="00606E56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912F2D" w:rsidRPr="00A85427" w:rsidRDefault="00912F2D" w:rsidP="00912F2D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Протокол № 1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от 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28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августа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3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912F2D" w:rsidRPr="00A85427" w:rsidRDefault="00912F2D" w:rsidP="00606E56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912F2D" w:rsidRPr="00FE0287" w:rsidRDefault="00912F2D" w:rsidP="00606E56">
            <w:pPr>
              <w:pStyle w:val="Style3"/>
              <w:widowControl/>
              <w:rPr>
                <w:rStyle w:val="FontStyle53"/>
                <w:i w:val="0"/>
              </w:rPr>
            </w:pPr>
            <w:r w:rsidRPr="00FE0287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FE0287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FE0287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:rsidR="00912F2D" w:rsidRPr="00FE0287" w:rsidRDefault="00912F2D" w:rsidP="00606E56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  <w:r w:rsidRPr="00FE0287">
              <w:rPr>
                <w:rStyle w:val="FontStyle53"/>
                <w:i w:val="0"/>
                <w:lang w:eastAsia="en-US"/>
              </w:rPr>
              <w:t>Приказ № 1</w:t>
            </w:r>
            <w:r>
              <w:rPr>
                <w:rStyle w:val="FontStyle53"/>
                <w:i w:val="0"/>
                <w:lang w:eastAsia="en-US"/>
              </w:rPr>
              <w:t>67</w:t>
            </w:r>
            <w:r w:rsidRPr="00FE0287">
              <w:rPr>
                <w:rStyle w:val="FontStyle53"/>
                <w:i w:val="0"/>
                <w:lang w:eastAsia="en-US"/>
              </w:rPr>
              <w:t xml:space="preserve"> от </w:t>
            </w:r>
            <w:r>
              <w:rPr>
                <w:rStyle w:val="FontStyle53"/>
                <w:i w:val="0"/>
                <w:lang w:eastAsia="en-US"/>
              </w:rPr>
              <w:t>28 августа 2023</w:t>
            </w:r>
            <w:r w:rsidRPr="00FE0287">
              <w:rPr>
                <w:rStyle w:val="FontStyle53"/>
                <w:i w:val="0"/>
                <w:lang w:eastAsia="en-US"/>
              </w:rPr>
              <w:t>г.</w:t>
            </w:r>
          </w:p>
          <w:p w:rsidR="00912F2D" w:rsidRPr="00FE0287" w:rsidRDefault="00912F2D" w:rsidP="00606E56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</w:p>
          <w:p w:rsidR="00912F2D" w:rsidRPr="00FE0287" w:rsidRDefault="00912F2D" w:rsidP="00606E56">
            <w:pPr>
              <w:pStyle w:val="Style3"/>
              <w:widowControl/>
              <w:rPr>
                <w:i/>
                <w:sz w:val="20"/>
                <w:szCs w:val="20"/>
              </w:rPr>
            </w:pPr>
            <w:r>
              <w:rPr>
                <w:rStyle w:val="FontStyle53"/>
                <w:i w:val="0"/>
                <w:lang w:eastAsia="en-US"/>
              </w:rPr>
              <w:t>Вводится в действие с 01.09.2023</w:t>
            </w:r>
            <w:r w:rsidRPr="00FE0287">
              <w:rPr>
                <w:rStyle w:val="FontStyle53"/>
                <w:i w:val="0"/>
                <w:lang w:eastAsia="en-US"/>
              </w:rPr>
              <w:t>г</w:t>
            </w:r>
          </w:p>
          <w:p w:rsidR="00912F2D" w:rsidRPr="00A85427" w:rsidRDefault="00912F2D" w:rsidP="00606E56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912F2D" w:rsidRDefault="00912F2D" w:rsidP="00912F2D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912F2D" w:rsidRDefault="00912F2D" w:rsidP="00912F2D">
      <w:pPr>
        <w:pStyle w:val="Style3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912F2D" w:rsidRPr="000D19B8" w:rsidRDefault="00912F2D" w:rsidP="00912F2D">
      <w:pPr>
        <w:framePr w:h="758" w:hSpace="38" w:wrap="auto" w:vAnchor="text" w:hAnchor="text" w:x="1" w:y="251"/>
        <w:rPr>
          <w:sz w:val="20"/>
          <w:szCs w:val="20"/>
        </w:rPr>
      </w:pPr>
    </w:p>
    <w:p w:rsidR="00912F2D" w:rsidRDefault="00912F2D" w:rsidP="00912F2D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jc w:val="center"/>
        <w:rPr>
          <w:rStyle w:val="FontStyle57"/>
        </w:rPr>
      </w:pPr>
    </w:p>
    <w:p w:rsidR="00912F2D" w:rsidRDefault="00912F2D" w:rsidP="00912F2D">
      <w:pPr>
        <w:pStyle w:val="Style5"/>
        <w:widowControl/>
        <w:ind w:right="29"/>
        <w:jc w:val="center"/>
        <w:rPr>
          <w:rStyle w:val="FontStyle57"/>
        </w:rPr>
      </w:pPr>
    </w:p>
    <w:p w:rsidR="00912F2D" w:rsidRDefault="00912F2D" w:rsidP="00912F2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</w:t>
      </w:r>
    </w:p>
    <w:p w:rsidR="00912F2D" w:rsidRDefault="00912F2D" w:rsidP="00912F2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:rsidR="00912F2D" w:rsidRDefault="00912F2D" w:rsidP="00912F2D">
      <w:pPr>
        <w:pStyle w:val="Style8"/>
        <w:widowControl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«</w:t>
      </w:r>
      <w:r>
        <w:rPr>
          <w:rStyle w:val="FontStyle51"/>
          <w:rFonts w:eastAsia="Franklin Gothic Book"/>
        </w:rPr>
        <w:t>Юные исследователи</w:t>
      </w:r>
      <w:r>
        <w:rPr>
          <w:rStyle w:val="FontStyle51"/>
          <w:rFonts w:eastAsia="Franklin Gothic Book"/>
        </w:rPr>
        <w:t>»</w:t>
      </w:r>
    </w:p>
    <w:p w:rsidR="00912F2D" w:rsidRDefault="00912F2D" w:rsidP="00912F2D">
      <w:pPr>
        <w:pStyle w:val="Style8"/>
        <w:widowControl/>
        <w:ind w:right="24"/>
        <w:jc w:val="center"/>
        <w:rPr>
          <w:rStyle w:val="FontStyle52"/>
        </w:rPr>
      </w:pPr>
      <w:r>
        <w:rPr>
          <w:rStyle w:val="FontStyle51"/>
          <w:rFonts w:eastAsia="Franklin Gothic Book"/>
        </w:rPr>
        <w:t>11</w:t>
      </w:r>
      <w:r>
        <w:rPr>
          <w:rStyle w:val="FontStyle51"/>
          <w:rFonts w:eastAsia="Franklin Gothic Book"/>
        </w:rPr>
        <w:t xml:space="preserve"> классы</w:t>
      </w: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  <w:r>
        <w:rPr>
          <w:rStyle w:val="FontStyle62"/>
        </w:rPr>
        <w:t xml:space="preserve">                                                                </w:t>
      </w:r>
      <w:r>
        <w:rPr>
          <w:rStyle w:val="FontStyle62"/>
        </w:rPr>
        <w:t xml:space="preserve">                     </w:t>
      </w: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12F2D" w:rsidRDefault="00912F2D" w:rsidP="00912F2D">
      <w:pPr>
        <w:pStyle w:val="Style12"/>
        <w:widowControl/>
        <w:spacing w:before="115"/>
        <w:ind w:right="3302"/>
        <w:jc w:val="left"/>
        <w:rPr>
          <w:rStyle w:val="FontStyle62"/>
        </w:rPr>
      </w:pPr>
      <w:r>
        <w:rPr>
          <w:rStyle w:val="FontStyle62"/>
        </w:rPr>
        <w:t xml:space="preserve">                                                                              </w:t>
      </w:r>
      <w:r w:rsidRPr="00156D7A">
        <w:rPr>
          <w:rStyle w:val="FontStyle62"/>
        </w:rPr>
        <w:t>Пелым 202</w:t>
      </w:r>
      <w:r>
        <w:rPr>
          <w:rStyle w:val="FontStyle62"/>
        </w:rPr>
        <w:t>3</w:t>
      </w:r>
    </w:p>
    <w:p w:rsidR="009A47E8" w:rsidRDefault="009A47E8" w:rsidP="009A47E8">
      <w:bookmarkStart w:id="0" w:name="_GoBack"/>
      <w:bookmarkEnd w:id="0"/>
    </w:p>
    <w:p w:rsidR="00E30094" w:rsidRDefault="00E30094"/>
    <w:p w:rsidR="009A47E8" w:rsidRDefault="00912F2D" w:rsidP="009A47E8">
      <w:pPr>
        <w:pStyle w:val="11"/>
        <w:spacing w:before="153"/>
      </w:pPr>
      <w:r>
        <w:lastRenderedPageBreak/>
        <w:pict>
          <v:rect id="_x0000_s1026" style="position:absolute;left:0;text-align:left;margin-left:33.3pt;margin-top:27.25pt;width:528.15pt;height:.6pt;z-index:-251658240;mso-wrap-distance-left:0;mso-wrap-distance-right:0;mso-position-horizontal-relative:page" fillcolor="black" stroked="f">
            <w10:wrap type="topAndBottom" anchorx="page"/>
          </v:rect>
        </w:pict>
      </w:r>
      <w:r w:rsidR="009A47E8">
        <w:t>ПОЯСНИТЕЛЬНАЯ</w:t>
      </w:r>
      <w:r w:rsidR="009A47E8">
        <w:rPr>
          <w:spacing w:val="-9"/>
        </w:rPr>
        <w:t xml:space="preserve"> </w:t>
      </w:r>
      <w:r w:rsidR="009A47E8">
        <w:t>ЗАПИСКА</w:t>
      </w:r>
    </w:p>
    <w:p w:rsidR="009A47E8" w:rsidRDefault="009A47E8" w:rsidP="009A47E8"/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9A47E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9A47E8">
        <w:rPr>
          <w:rFonts w:ascii="Times New Roman" w:hAnsi="Times New Roman" w:cs="Times New Roman"/>
          <w:sz w:val="28"/>
          <w:szCs w:val="28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Программа  направлена на формирование у учащихся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 На дополнительных занятиях по биологии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«Биологии» достаточно невелико, поэтому внеурочная деятельность будет дополнительной возможностью для закрепления и отработки практических умений учащихся. 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 Также, данный курс будет способствовать развитию учебной мотивации по выбору профессии, связанной со знаниями в области биологии. При реализации содержания программы учитываются возрастные и индивидуальные возможности подростков, создаются условия для успешности каждого обучающегося 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CF51F2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r w:rsidRPr="009A4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 xml:space="preserve">Цель: создание условий для успешного освоения учащимися практической составляющей школьной биологии и основ исследовательской деятельности. </w:t>
      </w:r>
      <w:r w:rsidR="00CF51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CF51F2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CF51F2">
        <w:rPr>
          <w:rFonts w:ascii="Times New Roman" w:hAnsi="Times New Roman" w:cs="Times New Roman"/>
          <w:sz w:val="28"/>
          <w:szCs w:val="28"/>
        </w:rPr>
        <w:t xml:space="preserve"> </w:t>
      </w:r>
      <w:r w:rsidRPr="009A47E8">
        <w:rPr>
          <w:rFonts w:ascii="Times New Roman" w:hAnsi="Times New Roman" w:cs="Times New Roman"/>
          <w:sz w:val="28"/>
          <w:szCs w:val="28"/>
        </w:rPr>
        <w:t xml:space="preserve">1. Формирование системы научных знаний о системе живой природы и начальных представлений о биологических объектах, процессах, явлениях, закономерностях. 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lastRenderedPageBreak/>
        <w:t xml:space="preserve">2. Приобретение опыта использования методов биологической науки для проведения несложных биологических экспериментов. 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>3. Развитие умений и навыков проектно – исследовательской деятельности.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 xml:space="preserve"> 4. Подготовка учащихся к участию в олимпиадном движении.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 xml:space="preserve"> 5. Формирование основ экологической грамотности. 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необходимо обратить внимание на следующие аспекты: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 xml:space="preserve"> 1. Создание портфолио ученика, позволяющее оценивать его личностный рост; 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метод проектов). </w:t>
      </w:r>
    </w:p>
    <w:p w:rsidR="00CF51F2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 xml:space="preserve">2. Организация проектной деятельности школьников и проведение </w:t>
      </w:r>
      <w:proofErr w:type="spellStart"/>
      <w:r w:rsidRPr="009A47E8">
        <w:rPr>
          <w:rFonts w:ascii="Times New Roman" w:hAnsi="Times New Roman" w:cs="Times New Roman"/>
          <w:sz w:val="28"/>
          <w:szCs w:val="28"/>
        </w:rPr>
        <w:t>миниконференций</w:t>
      </w:r>
      <w:proofErr w:type="spellEnd"/>
      <w:r w:rsidRPr="009A47E8">
        <w:rPr>
          <w:rFonts w:ascii="Times New Roman" w:hAnsi="Times New Roman" w:cs="Times New Roman"/>
          <w:sz w:val="28"/>
          <w:szCs w:val="28"/>
        </w:rPr>
        <w:t xml:space="preserve">, позволяющих школьникам представить индивидуальные (или групповые) проекты по выбранной теме. Формы проведения занятий: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 </w:t>
      </w:r>
    </w:p>
    <w:p w:rsidR="009A47E8" w:rsidRDefault="009A47E8" w:rsidP="00CF5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7E8">
        <w:rPr>
          <w:rFonts w:ascii="Times New Roman" w:hAnsi="Times New Roman" w:cs="Times New Roman"/>
          <w:sz w:val="28"/>
          <w:szCs w:val="28"/>
        </w:rPr>
        <w:t>Срок реализации – 1 год, 1 час в неделю</w:t>
      </w: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F2" w:rsidRPr="001D2437" w:rsidRDefault="00912F2D" w:rsidP="00CF51F2">
      <w:pPr>
        <w:pStyle w:val="11"/>
        <w:spacing w:before="66"/>
        <w:jc w:val="both"/>
      </w:pPr>
      <w:r>
        <w:pict>
          <v:rect id="_x0000_s1027" style="position:absolute;left:0;text-align:left;margin-left:33.3pt;margin-top:22.9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CF51F2" w:rsidRPr="001D2437">
        <w:t>СОДЕРЖАНИЕ</w:t>
      </w:r>
      <w:r w:rsidR="00CF51F2" w:rsidRPr="001D2437">
        <w:rPr>
          <w:spacing w:val="-8"/>
        </w:rPr>
        <w:t xml:space="preserve"> </w:t>
      </w:r>
      <w:r w:rsidR="00CF51F2">
        <w:t xml:space="preserve"> </w:t>
      </w:r>
      <w:r w:rsidR="00CF51F2" w:rsidRPr="001D2437">
        <w:t>ПРЕДМЕТА</w:t>
      </w:r>
    </w:p>
    <w:p w:rsid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</w:rPr>
      </w:pP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1 модуль: Общая биология. Жизнь, её свойства, уровни организации, происхождение жизни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>Предмет и методы биологии, свойства живой материи, уровни организации живой материи, происхождение жизни на Земле. Науки, входящие в состав биологии. История развития биологии как науки с античных времен до наших дней.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2 модуль: Химический состав живых организмов  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F51F2">
        <w:rPr>
          <w:rStyle w:val="c2"/>
          <w:color w:val="000000"/>
          <w:sz w:val="28"/>
          <w:szCs w:val="28"/>
        </w:rPr>
        <w:t>Элементный и молекулярный состав, вода, минеральные соли, углеводы, липиды, белки, их строение и функции, нуклеиновые кислоты, их строение.</w:t>
      </w:r>
      <w:proofErr w:type="gramEnd"/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3 модуль: Строение клетки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 xml:space="preserve">Типы клеточной организации. Строение клетки: клеточная оболочка, цитоплазма, ядро, </w:t>
      </w:r>
      <w:proofErr w:type="spellStart"/>
      <w:r w:rsidRPr="00CF51F2">
        <w:rPr>
          <w:rStyle w:val="c2"/>
          <w:color w:val="000000"/>
          <w:sz w:val="28"/>
          <w:szCs w:val="28"/>
        </w:rPr>
        <w:t>одномембранные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CF51F2">
        <w:rPr>
          <w:rStyle w:val="c2"/>
          <w:color w:val="000000"/>
          <w:sz w:val="28"/>
          <w:szCs w:val="28"/>
        </w:rPr>
        <w:t>двумембранные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 и </w:t>
      </w:r>
      <w:proofErr w:type="spellStart"/>
      <w:r w:rsidRPr="00CF51F2">
        <w:rPr>
          <w:rStyle w:val="c2"/>
          <w:color w:val="000000"/>
          <w:sz w:val="28"/>
          <w:szCs w:val="28"/>
        </w:rPr>
        <w:t>немембранные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 органоиды клетки, основные различия клеток прокариот и эукариот.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4 модуль: Обмен веществ и превращение энергии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lastRenderedPageBreak/>
        <w:t>Типы питания живых организмов. Понятие о метаболизме-ассимиляци</w:t>
      </w:r>
      <w:proofErr w:type="gramStart"/>
      <w:r w:rsidRPr="00CF51F2">
        <w:rPr>
          <w:rStyle w:val="c2"/>
          <w:color w:val="000000"/>
          <w:sz w:val="28"/>
          <w:szCs w:val="28"/>
        </w:rPr>
        <w:t>я(</w:t>
      </w:r>
      <w:proofErr w:type="gramEnd"/>
      <w:r w:rsidRPr="00CF51F2">
        <w:rPr>
          <w:rStyle w:val="c2"/>
          <w:color w:val="000000"/>
          <w:sz w:val="28"/>
          <w:szCs w:val="28"/>
        </w:rPr>
        <w:t>пластический обмен), диссимиляция(энергетический обмен). АТФ и её роль в метаболизме. Фотосинтез, хемосинтез, биосинтез белка.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5 модуль: Размножение и индивидуальное развитие организмов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>Воспроизведение клеток: митоз, мейоз. Размножение организмов. Индивидуальное развитие организмов.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6 модуль: Генетика и селекция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 xml:space="preserve">Наследственность и изменчивость. Первый, второй и третий закон Менделя. </w:t>
      </w:r>
      <w:proofErr w:type="spellStart"/>
      <w:r w:rsidRPr="00CF51F2">
        <w:rPr>
          <w:rStyle w:val="c2"/>
          <w:color w:val="000000"/>
          <w:sz w:val="28"/>
          <w:szCs w:val="28"/>
        </w:rPr>
        <w:t>Дигибридное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 и моногибридное скрещивание. Генетика пола, сцепленное с полом наследование. Методы генетики. Селекция, центры происхождения культурных растений.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7 модуль: Эволюция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>Эволюционное учение Ч.Дарвина, развитие органического мира, происхождение человека.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8 модуль: Экология и учение о биосфере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>Экологические факторы. Популяции. Экологические системы. Понятие о биосфере.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9 модуль: Многообразие живых организмов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>Вирусы, бактерии, грибы, лишайники.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10 модуль: Царство растения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F51F2">
        <w:rPr>
          <w:rStyle w:val="c2"/>
          <w:color w:val="000000"/>
          <w:sz w:val="28"/>
          <w:szCs w:val="28"/>
        </w:rPr>
        <w:t>Подцарство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 низшие растения, водоросли. Ткани и органы высших растений: вегетативные органы и генеративные органы высших растений. </w:t>
      </w:r>
      <w:proofErr w:type="spellStart"/>
      <w:r w:rsidRPr="00CF51F2">
        <w:rPr>
          <w:rStyle w:val="c2"/>
          <w:color w:val="000000"/>
          <w:sz w:val="28"/>
          <w:szCs w:val="28"/>
        </w:rPr>
        <w:t>Подцарство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11 модуль: Царство животные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F51F2">
        <w:rPr>
          <w:rStyle w:val="c2"/>
          <w:color w:val="000000"/>
          <w:sz w:val="28"/>
          <w:szCs w:val="28"/>
        </w:rPr>
        <w:t>Подцарство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 Простейшие (Одноклеточные). </w:t>
      </w:r>
      <w:proofErr w:type="spellStart"/>
      <w:r w:rsidRPr="00CF51F2">
        <w:rPr>
          <w:rStyle w:val="c2"/>
          <w:color w:val="000000"/>
          <w:sz w:val="28"/>
          <w:szCs w:val="28"/>
        </w:rPr>
        <w:t>Подцарство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 Многоклеточные, тип Кишечнополостные, тип Плоские черви, тип Круглые черви, тип Кольчатые черви, тип Моллюски, тип Членистоногие. Класс Ракообразные, </w:t>
      </w:r>
      <w:proofErr w:type="spellStart"/>
      <w:r w:rsidRPr="00CF51F2">
        <w:rPr>
          <w:rStyle w:val="c2"/>
          <w:color w:val="000000"/>
          <w:sz w:val="28"/>
          <w:szCs w:val="28"/>
        </w:rPr>
        <w:t>Пукообразные</w:t>
      </w:r>
      <w:proofErr w:type="spellEnd"/>
      <w:r w:rsidRPr="00CF51F2">
        <w:rPr>
          <w:rStyle w:val="c2"/>
          <w:color w:val="000000"/>
          <w:sz w:val="28"/>
          <w:szCs w:val="28"/>
        </w:rPr>
        <w:t xml:space="preserve">, Насекомые. Тип Хордовые, класс Ланцетники, Рыбы, Земноводные, Пресмыкающиеся, Птицы, Млекопитающие. Подклассы </w:t>
      </w:r>
      <w:proofErr w:type="spellStart"/>
      <w:r w:rsidRPr="00CF51F2">
        <w:rPr>
          <w:rStyle w:val="c2"/>
          <w:color w:val="000000"/>
          <w:sz w:val="28"/>
          <w:szCs w:val="28"/>
        </w:rPr>
        <w:t>Первозвери</w:t>
      </w:r>
      <w:proofErr w:type="spellEnd"/>
      <w:r w:rsidRPr="00CF51F2">
        <w:rPr>
          <w:rStyle w:val="c2"/>
          <w:color w:val="000000"/>
          <w:sz w:val="28"/>
          <w:szCs w:val="28"/>
        </w:rPr>
        <w:t>, Сумчатые, Плацентарные.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12 модуль: Человек и его здоровье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>Ткани, органы, регуляция жизнедеятельности. Опорно-двигательная система. Пищеварительная система и обмен веществ. Дыхательная и выделительная система. Кровеносная система, первая помощь при кровотечениях. Нервная система и высшая нервная деятельность человека. Органы чувств. Анализаторы. Кожа и её производные. Железы внутренней и внешней секреции. Размножение и развитие человека.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13 модуль: Контроль и обобщение</w:t>
      </w:r>
    </w:p>
    <w:p w:rsidR="00CF51F2" w:rsidRPr="00CF51F2" w:rsidRDefault="00CF51F2" w:rsidP="00CF51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2"/>
          <w:color w:val="000000"/>
          <w:sz w:val="28"/>
          <w:szCs w:val="28"/>
        </w:rPr>
        <w:t>Решение типовых заданий ЕГЭ прошлых лет, ориентированность на задания второй части.</w:t>
      </w:r>
    </w:p>
    <w:p w:rsidR="00CF51F2" w:rsidRPr="00CF51F2" w:rsidRDefault="00CF51F2" w:rsidP="00CF51F2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Формы организации занятий</w:t>
      </w:r>
      <w:r w:rsidRPr="00CF51F2">
        <w:rPr>
          <w:rStyle w:val="c2"/>
          <w:color w:val="000000"/>
          <w:sz w:val="28"/>
          <w:szCs w:val="28"/>
        </w:rPr>
        <w:t>: групповая, парная, индивидуальная.</w:t>
      </w:r>
    </w:p>
    <w:p w:rsidR="00CF51F2" w:rsidRPr="00CF51F2" w:rsidRDefault="00CF51F2" w:rsidP="00CF51F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51F2">
        <w:rPr>
          <w:rStyle w:val="c5"/>
          <w:b/>
          <w:bCs/>
          <w:color w:val="000000"/>
          <w:sz w:val="28"/>
          <w:szCs w:val="28"/>
        </w:rPr>
        <w:t>Виды деятельности</w:t>
      </w:r>
      <w:r w:rsidRPr="00CF51F2">
        <w:rPr>
          <w:rStyle w:val="c2"/>
          <w:color w:val="000000"/>
          <w:sz w:val="28"/>
          <w:szCs w:val="28"/>
        </w:rPr>
        <w:t>: познавательная, практическая, творческая, проблемно-ценностное общение.</w:t>
      </w:r>
    </w:p>
    <w:p w:rsidR="00CF51F2" w:rsidRPr="00CF51F2" w:rsidRDefault="00CF51F2" w:rsidP="00CF51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1F2">
        <w:rPr>
          <w:b/>
          <w:sz w:val="32"/>
          <w:szCs w:val="32"/>
        </w:rPr>
        <w:lastRenderedPageBreak/>
        <w:t>ПЛАНИРУЕМЫЕ РЕЗУДЬТАТЫ ПРОГРАММЫ</w:t>
      </w:r>
    </w:p>
    <w:p w:rsidR="00CF51F2" w:rsidRPr="009E75B9" w:rsidRDefault="00CF51F2" w:rsidP="009E75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5B9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CF51F2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1. Знания основных принципов и правил отношения к живой природе. </w:t>
      </w:r>
    </w:p>
    <w:p w:rsidR="00CF51F2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2. Развитие познавательных интересов, направленных на изучение живой природы.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3. Развитие интеллектуальных умений (доказывать, строить рассуждения, анализировать, сравнивать, делать выводы и другое)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4. Эстетического отношения к живым объектам.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5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75B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E75B9">
        <w:rPr>
          <w:rFonts w:ascii="Times New Roman" w:hAnsi="Times New Roman" w:cs="Times New Roman"/>
          <w:b/>
          <w:sz w:val="28"/>
          <w:szCs w:val="28"/>
        </w:rPr>
        <w:t xml:space="preserve"> результаты: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75B9">
        <w:rPr>
          <w:rFonts w:ascii="Times New Roman" w:hAnsi="Times New Roman" w:cs="Times New Roman"/>
          <w:sz w:val="28"/>
          <w:szCs w:val="28"/>
        </w:rPr>
        <w:t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идеи.</w:t>
      </w:r>
      <w:proofErr w:type="gramEnd"/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2.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другую.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3.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b/>
          <w:sz w:val="28"/>
          <w:szCs w:val="28"/>
        </w:rPr>
        <w:t xml:space="preserve"> Предметные результаты:</w:t>
      </w:r>
      <w:r w:rsidRPr="009E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В познавательной (интеллектуальной) сфере: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1. Выделение существенных признаков биологических объектов и процессов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2. Классификация — определение принадлежности биологических объектов к определенной систематической группе.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3. Объяснение роли биологии в практической деятельности людей.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4. Сравнение биологических объектов и процессов, умение делать выводы и умозаключения на основе сравнения.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5. Умение работать с определителями, лабораторным оборудованием.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6.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В ценностно-ориентационной сфере: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1. Знание основных правил поведения в природе.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2. Анализ и оценка последствий деятельности человека в природе.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В сфере трудовой деятельности: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1. Знание и соблюдение правил работы в кабинете биологии. 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lastRenderedPageBreak/>
        <w:t>2. Соблюдение правил работы с биологическими приборами и инструментами.</w:t>
      </w:r>
    </w:p>
    <w:p w:rsidR="009E75B9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 xml:space="preserve"> В эстетической сфере: </w:t>
      </w:r>
    </w:p>
    <w:p w:rsidR="00CF51F2" w:rsidRPr="009E75B9" w:rsidRDefault="00CF51F2" w:rsidP="009E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5B9">
        <w:rPr>
          <w:rFonts w:ascii="Times New Roman" w:hAnsi="Times New Roman" w:cs="Times New Roman"/>
          <w:sz w:val="28"/>
          <w:szCs w:val="28"/>
        </w:rPr>
        <w:t>1. Овладение умением оценивать с эстетической точки зрения объекты живой природы.</w:t>
      </w: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5B9" w:rsidRDefault="009E75B9" w:rsidP="009E75B9">
      <w:pPr>
        <w:spacing w:before="80"/>
        <w:ind w:left="106"/>
        <w:rPr>
          <w:rFonts w:ascii="Times New Roman" w:hAnsi="Times New Roman" w:cs="Times New Roman"/>
          <w:b/>
          <w:sz w:val="28"/>
          <w:szCs w:val="28"/>
        </w:rPr>
        <w:sectPr w:rsidR="009E75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75B9" w:rsidRPr="00C628F3" w:rsidRDefault="00912F2D" w:rsidP="009E75B9">
      <w:pPr>
        <w:spacing w:before="80"/>
        <w:ind w:left="1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pict>
          <v:rect id="_x0000_s1028" style="position:absolute;left:0;text-align:left;margin-left:33.3pt;margin-top:17.65pt;width:775.65pt;height:.6pt;z-index:-251654144;mso-wrap-distance-left:0;mso-wrap-distance-right:0;mso-position-horizontal-relative:page" fillcolor="black" stroked="f">
            <w10:wrap type="topAndBottom" anchorx="page"/>
          </v:rect>
        </w:pict>
      </w:r>
      <w:r w:rsidR="009E75B9" w:rsidRPr="00C628F3">
        <w:rPr>
          <w:rFonts w:ascii="Times New Roman" w:hAnsi="Times New Roman" w:cs="Times New Roman"/>
          <w:b/>
          <w:sz w:val="28"/>
          <w:szCs w:val="28"/>
        </w:rPr>
        <w:t>ТЕМАТИЧЕСКОЕ</w:t>
      </w:r>
      <w:r w:rsidR="009E75B9" w:rsidRPr="00C628F3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9E75B9" w:rsidRPr="00C628F3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tbl>
      <w:tblPr>
        <w:tblW w:w="1513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9174"/>
        <w:gridCol w:w="1222"/>
        <w:gridCol w:w="3534"/>
      </w:tblGrid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ля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ind w:left="210" w:hanging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Default="009E75B9" w:rsidP="009E75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биология. Жизнь, её свойства, уровни организации, происхождение жизни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Химический состав живых организмов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Элементный и молекулярный состав Вода, минеральные соли Углеводы, строение и функции</w:t>
            </w:r>
          </w:p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Липиды, строение и функции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Белки, их строение и функции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Нуклеиновые кислоты, их строение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Строение клетки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клеточной организации. Строение клетки: клеточная оболочка, цитоплазма, ядро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клетки:  </w:t>
            </w: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одномембранные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двумембранные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немембранные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органоиды клетки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различия клеток прокариот и эукариот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Обмен веществ и превращение энергии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питания живых организмов. Понятие о метаболизме-ассимиляция (пластический обмен), диссимиляци</w:t>
            </w:r>
            <w:proofErr w:type="gram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энергетический обмен)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АТФ и её роль в метаболизме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Биосинтез белка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Размножение и индивидуальное развитие организмов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Воспроизведение клеток: митоз мейоз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организмов. Индивидуальное развитие организмов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Генетика и селекция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6.1, 6.2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Наследственность и изменчивость Первый, второй и третий закон Менделя. </w:t>
            </w: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Дигибридное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моногибридное </w:t>
            </w: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скрещевание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пола, сцепленное с полом наследование. Методы генетики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Селекция, центры происхождения культурных растений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Эволюция.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Эволюционное учение Ч. Дарвина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органического мира Происхождение человека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Экология и учение о биосфере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факторы. Популяции.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системы. Понятие о биосфере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Вирусы. Бактерии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 Лишайники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Царство растения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Подцарство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низшие растения, водоросли</w:t>
            </w:r>
          </w:p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Подцарство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высшие растения: споровые, семенные растения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Отделы: голосеменные и покрытосеменные растения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Семейства класса Однодольные. Семейства класса Двудольные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Царство животные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Подцарство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Простейшие (Одноклеточные) </w:t>
            </w: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Подцарство</w:t>
            </w:r>
            <w:proofErr w:type="spell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Многоклеточные, тип </w:t>
            </w: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Кишечнополостные Тип Плоские черви Тип Круглые черви Тип Кольчатые черви Тип Моллюски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Членистоногие</w:t>
            </w:r>
          </w:p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  <w:proofErr w:type="gram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Ракообразные</w:t>
            </w:r>
            <w:proofErr w:type="gramEnd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</w:t>
            </w:r>
          </w:p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  <w:proofErr w:type="spellStart"/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Пукообразные</w:t>
            </w:r>
            <w:proofErr w:type="spellEnd"/>
          </w:p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Насекомые.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Хордовые, Класс Ланцетники</w:t>
            </w:r>
          </w:p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 Рыбы</w:t>
            </w:r>
          </w:p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 Земноводные</w:t>
            </w:r>
          </w:p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Пресмыкающиеся</w:t>
            </w:r>
          </w:p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Млекопитающие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и его здоровье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Ткани, органы, регуляция жизнедеятельности. Опорно-двигательная система Пищеварительная система и обмен веществ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Дыхательная и выделительная система.</w:t>
            </w:r>
          </w:p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Кровеносная система,  первая помощь при кровотечениях.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Нервная система и высшая нервная деятельность человека. Органы чувств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Кожа и её производные</w:t>
            </w:r>
          </w:p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Железы внутренней и внешней секреции Размножение и развитие человека.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Контроль, обобщение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75B9" w:rsidRPr="009E75B9" w:rsidTr="009E75B9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75B9" w:rsidRPr="009E75B9" w:rsidRDefault="009E75B9" w:rsidP="009E75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E75B9" w:rsidRDefault="009E75B9" w:rsidP="00CF51F2">
      <w:pPr>
        <w:jc w:val="both"/>
        <w:rPr>
          <w:rFonts w:ascii="Times New Roman" w:hAnsi="Times New Roman" w:cs="Times New Roman"/>
          <w:sz w:val="28"/>
          <w:szCs w:val="28"/>
        </w:rPr>
        <w:sectPr w:rsidR="009E75B9" w:rsidSect="009E75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F2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F2" w:rsidRPr="009A47E8" w:rsidRDefault="00CF51F2" w:rsidP="00CF51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51F2" w:rsidRPr="009A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47E8"/>
    <w:rsid w:val="00912F2D"/>
    <w:rsid w:val="009A47E8"/>
    <w:rsid w:val="009E75B9"/>
    <w:rsid w:val="00CF51F2"/>
    <w:rsid w:val="00E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47E8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A47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9A47E8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6">
    <w:name w:val="c6"/>
    <w:basedOn w:val="a"/>
    <w:rsid w:val="00CF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F51F2"/>
  </w:style>
  <w:style w:type="character" w:customStyle="1" w:styleId="c2">
    <w:name w:val="c2"/>
    <w:basedOn w:val="a0"/>
    <w:rsid w:val="00CF51F2"/>
  </w:style>
  <w:style w:type="paragraph" w:customStyle="1" w:styleId="c21">
    <w:name w:val="c21"/>
    <w:basedOn w:val="a"/>
    <w:rsid w:val="00CF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F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E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9E75B9"/>
  </w:style>
  <w:style w:type="paragraph" w:styleId="a5">
    <w:name w:val="No Spacing"/>
    <w:link w:val="a6"/>
    <w:uiPriority w:val="99"/>
    <w:qFormat/>
    <w:rsid w:val="0091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rsid w:val="00912F2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12F2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12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912F2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912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12F2D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12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12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12F2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912F2D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912F2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912F2D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912F2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912F2D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7f4148d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7f4148d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48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7f4148d0" TargetMode="External"/><Relationship Id="rId5" Type="http://schemas.openxmlformats.org/officeDocument/2006/relationships/hyperlink" Target="https://m.edsoo.ru/7f4148d0" TargetMode="External"/><Relationship Id="rId15" Type="http://schemas.openxmlformats.org/officeDocument/2006/relationships/hyperlink" Target="https://m.edsoo.ru/7f4148d0" TargetMode="External"/><Relationship Id="rId10" Type="http://schemas.openxmlformats.org/officeDocument/2006/relationships/hyperlink" Target="https://m.edsoo.ru/7f4148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7f4148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3</cp:revision>
  <dcterms:created xsi:type="dcterms:W3CDTF">2023-09-13T03:58:00Z</dcterms:created>
  <dcterms:modified xsi:type="dcterms:W3CDTF">2023-09-13T11:45:00Z</dcterms:modified>
</cp:coreProperties>
</file>